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keepLines/>
        <w:pageBreakBefore w:val="0"/>
        <w:spacing w:after="140"/>
      </w:pPr>
      <w:r>
        <w:rPr>
          <w:rFonts w:ascii="Calibri" w:hAnsi="Calibri"/>
          <w:sz w:val="28"/>
        </w:rPr>
        <w:t>OPPORTUNITÉ IMMOBILIÈRE | PÁKA - HONGRIE | VERSION 4.1 — 09/10/2026</w:t>
      </w:r>
    </w:p>
    <w:p>
      <w:pPr>
        <w:pStyle w:val="Title"/>
        <w:keepNext w:val="0"/>
        <w:keepLines/>
        <w:pageBreakBefore w:val="0"/>
        <w:spacing w:after="140"/>
      </w:pPr>
      <w:r>
        <w:rPr>
          <w:rFonts w:ascii="Calibri" w:hAnsi="Calibri"/>
          <w:color w:val="24465F"/>
          <w:sz w:val="28"/>
        </w:rPr>
        <w:t>Un domaine de caractère</w:t>
        <w:br/>
        <w:t>au potentiel pluriel</w:t>
      </w:r>
    </w:p>
    <w:p>
      <w:pPr>
        <w:keepNext w:val="0"/>
        <w:keepLines/>
        <w:pageBreakBefore w:val="0"/>
        <w:spacing w:after="140"/>
      </w:pPr>
      <w:r>
        <w:rPr>
          <w:rFonts w:ascii="Calibri" w:hAnsi="Calibri"/>
          <w:b/>
          <w:color w:val="B08A4A"/>
          <w:sz w:val="28"/>
        </w:rPr>
        <w:t>PÁKA · RÉGION DE GÖCSEJ · HONGRIE</w:t>
      </w:r>
    </w:p>
    <w:p>
      <w:pPr>
        <w:spacing w:after="140"/>
        <w:keepNext w:val="0"/>
        <w:keepLines/>
        <w:pageBreakBefore w:val="0"/>
        <w:pBdr>
          <w:bottom w:val="single" w:sz="12" w:space="1" w:color="B08A4A"/>
        </w:pBdr>
      </w:pPr>
    </w:p>
    <w:p>
      <w:pPr>
        <w:keepNext w:val="0"/>
        <w:keepLines/>
        <w:pageBreakBefore w:val="0"/>
        <w:spacing w:after="140"/>
      </w:pPr>
      <w:r>
        <w:rPr>
          <w:rFonts w:ascii="Calibri" w:hAnsi="Calibri"/>
          <w:sz w:val="28"/>
        </w:rPr>
        <w:t>Selon le descriptif vendeur, une propriété de près de 900 m² sur un terrain de 3 357 m², dans un environnement naturel et boisé, offre plusieurs pistes de développement à étudier.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rPr>
          <w:cantSplit/>
        </w:trPr>
        <w:tc>
          <w:tcPr>
            <w:tcW w:type="dxa" w:w="2537"/>
            <w:tcMar>
              <w:top w:w="180" w:type="dxa"/>
              <w:start w:w="120" w:type="dxa"/>
              <w:bottom w:w="180" w:type="dxa"/>
              <w:end w:w="120" w:type="dxa"/>
            </w:tcMar>
            <w:shd w:fill="FFFFFF"/>
          </w:tcPr>
          <w:p>
            <w:pPr>
              <w:keepNext w:val="0"/>
              <w:keepLines/>
              <w:spacing w:after="40" w:line="360" w:lineRule="exact"/>
              <w:jc w:val="center"/>
            </w:pPr>
            <w:r>
              <w:rPr>
                <w:rFonts w:ascii="Calibri" w:hAnsi="Calibri"/>
                <w:color w:val="24465F"/>
                <w:sz w:val="32"/>
              </w:rPr>
              <w:t>≈ 900 m²</w:t>
              <w:br/>
              <w:t>surface nette</w:t>
            </w:r>
          </w:p>
        </w:tc>
        <w:tc>
          <w:tcPr>
            <w:tcW w:type="dxa" w:w="2537"/>
            <w:tcMar>
              <w:top w:w="180" w:type="dxa"/>
              <w:start w:w="120" w:type="dxa"/>
              <w:bottom w:w="180" w:type="dxa"/>
              <w:end w:w="120" w:type="dxa"/>
            </w:tcMar>
            <w:shd w:fill="FFFFFF"/>
          </w:tcPr>
          <w:p>
            <w:pPr>
              <w:keepNext w:val="0"/>
              <w:keepLines/>
              <w:spacing w:after="40" w:line="360" w:lineRule="exact"/>
              <w:jc w:val="center"/>
            </w:pPr>
            <w:r>
              <w:rPr>
                <w:rFonts w:ascii="Calibri" w:hAnsi="Calibri"/>
                <w:color w:val="24465F"/>
                <w:sz w:val="32"/>
              </w:rPr>
              <w:t>3 357 m²</w:t>
              <w:br/>
              <w:t>terrain</w:t>
            </w:r>
          </w:p>
        </w:tc>
        <w:tc>
          <w:tcPr>
            <w:tcW w:type="dxa" w:w="2537"/>
            <w:tcMar>
              <w:top w:w="180" w:type="dxa"/>
              <w:start w:w="120" w:type="dxa"/>
              <w:bottom w:w="180" w:type="dxa"/>
              <w:end w:w="120" w:type="dxa"/>
            </w:tcMar>
            <w:shd w:fill="FFFFFF"/>
          </w:tcPr>
          <w:p>
            <w:pPr>
              <w:keepNext w:val="0"/>
              <w:keepLines/>
              <w:spacing w:after="40" w:line="360" w:lineRule="exact"/>
              <w:jc w:val="center"/>
            </w:pPr>
            <w:r>
              <w:rPr>
                <w:rFonts w:ascii="Calibri" w:hAnsi="Calibri"/>
                <w:color w:val="24465F"/>
                <w:sz w:val="32"/>
              </w:rPr>
              <w:t>≈ 250 m²</w:t>
              <w:br/>
              <w:t>dépendance / grange</w:t>
            </w:r>
          </w:p>
        </w:tc>
        <w:tc>
          <w:tcPr>
            <w:tcW w:type="dxa" w:w="2537"/>
            <w:tcMar>
              <w:top w:w="180" w:type="dxa"/>
              <w:start w:w="120" w:type="dxa"/>
              <w:bottom w:w="180" w:type="dxa"/>
              <w:end w:w="120" w:type="dxa"/>
            </w:tcMar>
            <w:shd w:fill="FFFFFF"/>
          </w:tcPr>
          <w:p>
            <w:pPr>
              <w:keepNext w:val="0"/>
              <w:keepLines/>
              <w:spacing w:after="40" w:line="360" w:lineRule="exact"/>
              <w:jc w:val="center"/>
            </w:pPr>
            <w:r>
              <w:rPr>
                <w:rFonts w:ascii="Calibri" w:hAnsi="Calibri"/>
                <w:color w:val="24465F"/>
                <w:sz w:val="32"/>
              </w:rPr>
              <w:t>22 kW</w:t>
              <w:br/>
              <w:t>photovoltaïque</w:t>
            </w:r>
          </w:p>
        </w:tc>
      </w:tr>
    </w:tbl>
    <w:p>
      <w:pPr>
        <w:keepNext w:val="0"/>
        <w:keepLines/>
        <w:pageBreakBefore w:val="0"/>
        <w:spacing w:after="140"/>
      </w:pPr>
    </w:p>
    <w:p>
      <w:pPr>
        <w:pStyle w:val="Heading1"/>
        <w:keepNext/>
        <w:keepLines/>
        <w:pageBreakBefore w:val="0"/>
        <w:spacing w:before="100" w:after="140"/>
      </w:pPr>
      <w:r>
        <w:rPr>
          <w:rFonts w:ascii="Calibri" w:hAnsi="Calibri"/>
          <w:color w:val="24465F"/>
          <w:sz w:val="36"/>
        </w:rPr>
        <w:t>Une propriété qui peut porter un véritable projet</w:t>
      </w:r>
    </w:p>
    <w:p>
      <w:pPr>
        <w:keepNext w:val="0"/>
        <w:keepLines/>
        <w:pageBreakBefore w:val="0"/>
        <w:spacing w:after="140"/>
      </w:pPr>
      <w:r>
        <w:rPr>
          <w:rFonts w:ascii="Calibri" w:hAnsi="Calibri"/>
          <w:sz w:val="28"/>
        </w:rPr>
        <w:t>Certaines propriétés s'achètent simplement. D'autres réunissent les caractéristiques permettant d'envisager un projet complet.</w:t>
      </w:r>
    </w:p>
    <w:p>
      <w:pPr>
        <w:keepNext w:val="0"/>
        <w:keepLines/>
        <w:pageBreakBefore w:val="0"/>
        <w:spacing w:after="140"/>
      </w:pPr>
      <w:r>
        <w:rPr>
          <w:rFonts w:ascii="Calibri" w:hAnsi="Calibri"/>
          <w:sz w:val="28"/>
        </w:rPr>
        <w:t>Les caractéristiques annoncées par le vendeur constituent une base d’étude. Le programme dépendra des relevés, du cadastre, des usages autorisés, des contraintes techniques et du budget.</w:t>
      </w:r>
    </w:p>
    <w:p>
      <w:pPr>
        <w:pStyle w:val="Heading2"/>
        <w:keepNext/>
        <w:keepLines/>
        <w:pageBreakBefore w:val="0"/>
        <w:spacing w:after="140"/>
      </w:pPr>
      <w:r>
        <w:rPr>
          <w:rFonts w:ascii="Calibri" w:hAnsi="Calibri"/>
          <w:sz w:val="36"/>
        </w:rPr>
        <w:t>Premiers atouts annoncés par le vendeur</w:t>
      </w:r>
    </w:p>
    <w:p>
      <w:pPr>
        <w:pStyle w:val="ListBullet"/>
        <w:keepNext w:val="0"/>
        <w:keepLines/>
        <w:pageBreakBefore w:val="0"/>
        <w:spacing w:after="140"/>
      </w:pPr>
      <w:r>
        <w:rPr>
          <w:rFonts w:ascii="Calibri" w:hAnsi="Calibri"/>
          <w:sz w:val="28"/>
        </w:rPr>
        <w:t>Bâtiment principal de type château, partiellement rénové.</w:t>
      </w:r>
    </w:p>
    <w:p>
      <w:pPr>
        <w:pStyle w:val="ListBullet"/>
        <w:keepNext w:val="0"/>
        <w:keepLines/>
        <w:pageBreakBefore w:val="0"/>
        <w:spacing w:after="140"/>
      </w:pPr>
      <w:r>
        <w:rPr>
          <w:rFonts w:ascii="Calibri" w:hAnsi="Calibri"/>
          <w:sz w:val="28"/>
        </w:rPr>
        <w:t>Toiture renouvelée en 2022.</w:t>
      </w:r>
    </w:p>
    <w:p>
      <w:pPr>
        <w:pStyle w:val="ListBullet"/>
        <w:keepNext w:val="0"/>
        <w:keepLines/>
        <w:pageBreakBefore w:val="0"/>
        <w:spacing w:after="140"/>
      </w:pPr>
      <w:r>
        <w:rPr>
          <w:rFonts w:ascii="Calibri" w:hAnsi="Calibri"/>
          <w:sz w:val="28"/>
        </w:rPr>
        <w:t>Installation photovoltaïque existante de 22 kW.</w:t>
      </w:r>
    </w:p>
    <w:p>
      <w:pPr>
        <w:pStyle w:val="ListBullet"/>
        <w:keepNext w:val="0"/>
        <w:keepLines/>
        <w:pageBreakBefore w:val="0"/>
        <w:spacing w:after="140"/>
      </w:pPr>
      <w:r>
        <w:rPr>
          <w:rFonts w:ascii="Calibri" w:hAnsi="Calibri"/>
          <w:sz w:val="28"/>
        </w:rPr>
        <w:t>Dépendance / grange d'environ 250 m² sur la propriété.</w:t>
      </w:r>
    </w:p>
    <w:p>
      <w:pPr>
        <w:pStyle w:val="ListBullet"/>
        <w:keepNext w:val="0"/>
        <w:keepLines/>
        <w:pageBreakBefore w:val="0"/>
        <w:spacing w:after="140"/>
      </w:pPr>
      <w:r>
        <w:rPr>
          <w:rFonts w:ascii="Calibri" w:hAnsi="Calibri"/>
          <w:sz w:val="28"/>
        </w:rPr>
        <w:t>Environnement naturel, vallonné et boisé caractéristique de Göcsej.</w:t>
      </w:r>
    </w:p>
    <w:p>
      <w:pPr>
        <w:keepNext w:val="0"/>
        <w:keepLines/>
        <w:pageBreakBefore w:val="0"/>
        <w:spacing w:after="140"/>
      </w:pPr>
      <w:r>
        <w:rPr>
          <w:rFonts w:ascii="Calibri" w:hAnsi="Calibri"/>
          <w:sz w:val="28"/>
        </w:rPr>
      </w:r>
    </w:p>
    <w:p>
      <w:pPr>
        <w:keepNext w:val="0"/>
        <w:keepLines/>
        <w:pageBreakBefore/>
        <w:spacing w:after="140"/>
      </w:pPr>
      <w:r>
        <w:rPr>
          <w:rFonts w:ascii="Calibri" w:hAnsi="Calibri"/>
          <w:b/>
          <w:color w:val="B08A4A"/>
          <w:sz w:val="28"/>
        </w:rPr>
        <w:t>PÁKA | CARACTÉRISTIQUES TECHNIQUES</w:t>
      </w:r>
    </w:p>
    <w:p>
      <w:pPr>
        <w:pStyle w:val="Heading1"/>
        <w:keepNext/>
        <w:keepLines/>
        <w:pageBreakBefore w:val="0"/>
        <w:spacing w:before="100" w:after="140"/>
      </w:pPr>
      <w:r>
        <w:rPr>
          <w:rFonts w:ascii="Calibri" w:hAnsi="Calibri"/>
          <w:color w:val="24465F"/>
          <w:sz w:val="36"/>
        </w:rPr>
        <w:t>Une base technique déjà structurée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rPr>
          <w:cantSplit/>
        </w:trPr>
        <w:tc>
          <w:tcPr>
            <w:tcW w:type="dxa" w:w="5074"/>
            <w:tcMar>
              <w:top w:w="130" w:type="dxa"/>
              <w:start w:w="130" w:type="dxa"/>
              <w:bottom w:w="130" w:type="dxa"/>
              <w:end w:w="130" w:type="dxa"/>
            </w:tcMar>
            <w:shd w:fill="EAF1F5"/>
          </w:tcPr>
          <w:p>
            <w:pPr>
              <w:keepNext w:val="0"/>
              <w:keepLines/>
              <w:spacing w:before="0" w:after="40" w:line="360" w:lineRule="exact"/>
            </w:pPr>
            <w:r>
              <w:rPr>
                <w:rFonts w:ascii="Calibri" w:hAnsi="Calibri"/>
                <w:b/>
                <w:color w:val="24465F"/>
                <w:sz w:val="32"/>
              </w:rPr>
              <w:t>Bâtiment principal</w:t>
            </w:r>
          </w:p>
        </w:tc>
        <w:tc>
          <w:tcPr>
            <w:tcW w:type="dxa" w:w="5074"/>
            <w:tcMar>
              <w:top w:w="130" w:type="dxa"/>
              <w:start w:w="130" w:type="dxa"/>
              <w:bottom w:w="130" w:type="dxa"/>
              <w:end w:w="130" w:type="dxa"/>
            </w:tcMar>
            <w:shd w:fill="EAF1F5"/>
          </w:tcPr>
          <w:p>
            <w:pPr>
              <w:keepNext w:val="0"/>
              <w:keepLines/>
              <w:spacing w:before="0" w:after="40" w:line="360" w:lineRule="exact"/>
            </w:pPr>
            <w:r>
              <w:rPr>
                <w:rFonts w:ascii="Calibri" w:hAnsi="Calibri"/>
                <w:color w:val="333333"/>
                <w:sz w:val="32"/>
              </w:rPr>
              <w:t>Environ 900 m² de surface nette ; espaces intérieurs partiellement rénovés.</w:t>
            </w:r>
          </w:p>
        </w:tc>
      </w:tr>
      <w:tr>
        <w:trPr>
          <w:cantSplit/>
        </w:trPr>
        <w:tc>
          <w:tcPr>
            <w:tcW w:type="dxa" w:w="5074"/>
            <w:tcMar>
              <w:top w:w="130" w:type="dxa"/>
              <w:start w:w="130" w:type="dxa"/>
              <w:bottom w:w="130" w:type="dxa"/>
              <w:end w:w="130" w:type="dxa"/>
            </w:tcMar>
            <w:shd w:fill="FFFFFF"/>
          </w:tcPr>
          <w:p>
            <w:pPr>
              <w:keepNext w:val="0"/>
              <w:keepLines/>
              <w:spacing w:before="0" w:after="40" w:line="360" w:lineRule="exact"/>
            </w:pPr>
            <w:r>
              <w:rPr>
                <w:rFonts w:ascii="Calibri" w:hAnsi="Calibri"/>
                <w:b/>
                <w:color w:val="24465F"/>
                <w:sz w:val="32"/>
              </w:rPr>
              <w:t>Terrain</w:t>
            </w:r>
          </w:p>
        </w:tc>
        <w:tc>
          <w:tcPr>
            <w:tcW w:type="dxa" w:w="5074"/>
            <w:tcMar>
              <w:top w:w="130" w:type="dxa"/>
              <w:start w:w="130" w:type="dxa"/>
              <w:bottom w:w="130" w:type="dxa"/>
              <w:end w:w="130" w:type="dxa"/>
            </w:tcMar>
            <w:shd w:fill="FFFFFF"/>
          </w:tcPr>
          <w:p>
            <w:pPr>
              <w:keepNext w:val="0"/>
              <w:keepLines/>
              <w:spacing w:before="0" w:after="40" w:line="360" w:lineRule="exact"/>
            </w:pPr>
            <w:r>
              <w:rPr>
                <w:rFonts w:ascii="Calibri" w:hAnsi="Calibri"/>
                <w:color w:val="333333"/>
                <w:sz w:val="32"/>
              </w:rPr>
              <w:t>3 357 m².</w:t>
            </w:r>
          </w:p>
        </w:tc>
      </w:tr>
      <w:tr>
        <w:trPr>
          <w:cantSplit/>
        </w:trPr>
        <w:tc>
          <w:tcPr>
            <w:tcW w:type="dxa" w:w="5074"/>
            <w:tcMar>
              <w:top w:w="130" w:type="dxa"/>
              <w:start w:w="130" w:type="dxa"/>
              <w:bottom w:w="130" w:type="dxa"/>
              <w:end w:w="130" w:type="dxa"/>
            </w:tcMar>
            <w:shd w:fill="EAF1F5"/>
          </w:tcPr>
          <w:p>
            <w:pPr>
              <w:keepNext w:val="0"/>
              <w:keepLines/>
              <w:spacing w:before="0" w:after="40" w:line="360" w:lineRule="exact"/>
            </w:pPr>
            <w:r>
              <w:rPr>
                <w:rFonts w:ascii="Calibri" w:hAnsi="Calibri"/>
                <w:b/>
                <w:color w:val="24465F"/>
                <w:sz w:val="32"/>
              </w:rPr>
              <w:t>Toiture</w:t>
            </w:r>
          </w:p>
        </w:tc>
        <w:tc>
          <w:tcPr>
            <w:tcW w:type="dxa" w:w="5074"/>
            <w:tcMar>
              <w:top w:w="130" w:type="dxa"/>
              <w:start w:w="130" w:type="dxa"/>
              <w:bottom w:w="130" w:type="dxa"/>
              <w:end w:w="130" w:type="dxa"/>
            </w:tcMar>
            <w:shd w:fill="EAF1F5"/>
          </w:tcPr>
          <w:p>
            <w:pPr>
              <w:keepNext w:val="0"/>
              <w:keepLines/>
              <w:spacing w:before="0" w:after="40" w:line="360" w:lineRule="exact"/>
            </w:pPr>
            <w:r>
              <w:rPr>
                <w:rFonts w:ascii="Calibri" w:hAnsi="Calibri"/>
                <w:color w:val="333333"/>
                <w:sz w:val="32"/>
              </w:rPr>
              <w:t>Rénovée en 2022.</w:t>
            </w:r>
          </w:p>
        </w:tc>
      </w:tr>
      <w:tr>
        <w:trPr>
          <w:cantSplit/>
        </w:trPr>
        <w:tc>
          <w:tcPr>
            <w:tcW w:type="dxa" w:w="5074"/>
            <w:tcMar>
              <w:top w:w="130" w:type="dxa"/>
              <w:start w:w="130" w:type="dxa"/>
              <w:bottom w:w="130" w:type="dxa"/>
              <w:end w:w="130" w:type="dxa"/>
            </w:tcMar>
            <w:shd w:fill="FFFFFF"/>
          </w:tcPr>
          <w:p>
            <w:pPr>
              <w:keepNext w:val="0"/>
              <w:keepLines/>
              <w:spacing w:before="0" w:after="40" w:line="360" w:lineRule="exact"/>
            </w:pPr>
            <w:r>
              <w:rPr>
                <w:rFonts w:ascii="Calibri" w:hAnsi="Calibri"/>
                <w:b/>
                <w:color w:val="24465F"/>
                <w:sz w:val="32"/>
              </w:rPr>
              <w:t>Énergie solaire</w:t>
            </w:r>
          </w:p>
        </w:tc>
        <w:tc>
          <w:tcPr>
            <w:tcW w:type="dxa" w:w="5074"/>
            <w:tcMar>
              <w:top w:w="130" w:type="dxa"/>
              <w:start w:w="130" w:type="dxa"/>
              <w:bottom w:w="130" w:type="dxa"/>
              <w:end w:w="130" w:type="dxa"/>
            </w:tcMar>
            <w:shd w:fill="FFFFFF"/>
          </w:tcPr>
          <w:p>
            <w:pPr>
              <w:keepNext w:val="0"/>
              <w:keepLines/>
              <w:spacing w:before="0" w:after="40" w:line="360" w:lineRule="exact"/>
            </w:pPr>
            <w:r>
              <w:rPr>
                <w:rFonts w:ascii="Calibri" w:hAnsi="Calibri"/>
                <w:color w:val="333333"/>
                <w:sz w:val="32"/>
              </w:rPr>
              <w:t>Installation photovoltaïque de 22 kW.</w:t>
            </w:r>
          </w:p>
        </w:tc>
      </w:tr>
      <w:tr>
        <w:trPr>
          <w:cantSplit/>
        </w:trPr>
        <w:tc>
          <w:tcPr>
            <w:tcW w:type="dxa" w:w="5074"/>
            <w:tcMar>
              <w:top w:w="130" w:type="dxa"/>
              <w:start w:w="130" w:type="dxa"/>
              <w:bottom w:w="130" w:type="dxa"/>
              <w:end w:w="130" w:type="dxa"/>
            </w:tcMar>
            <w:shd w:fill="EAF1F5"/>
          </w:tcPr>
          <w:p>
            <w:pPr>
              <w:keepNext w:val="0"/>
              <w:keepLines/>
              <w:spacing w:before="0" w:after="40" w:line="360" w:lineRule="exact"/>
            </w:pPr>
            <w:r>
              <w:rPr>
                <w:rFonts w:ascii="Calibri" w:hAnsi="Calibri"/>
                <w:b/>
                <w:color w:val="24465F"/>
                <w:sz w:val="32"/>
              </w:rPr>
              <w:t>Puissance électrique</w:t>
            </w:r>
          </w:p>
        </w:tc>
        <w:tc>
          <w:tcPr>
            <w:tcW w:type="dxa" w:w="5074"/>
            <w:tcMar>
              <w:top w:w="130" w:type="dxa"/>
              <w:start w:w="130" w:type="dxa"/>
              <w:bottom w:w="130" w:type="dxa"/>
              <w:end w:w="130" w:type="dxa"/>
            </w:tcMar>
            <w:shd w:fill="EAF1F5"/>
          </w:tcPr>
          <w:p>
            <w:pPr>
              <w:keepNext w:val="0"/>
              <w:keepLines/>
              <w:spacing w:before="0" w:after="40" w:line="360" w:lineRule="exact"/>
            </w:pPr>
            <w:r>
              <w:rPr>
                <w:rFonts w:ascii="Calibri" w:hAnsi="Calibri"/>
                <w:color w:val="333333"/>
                <w:sz w:val="32"/>
              </w:rPr>
              <w:t>Raccordement électrique annoncé de 105 A.</w:t>
            </w:r>
          </w:p>
        </w:tc>
      </w:tr>
      <w:tr>
        <w:trPr>
          <w:cantSplit/>
        </w:trPr>
        <w:tc>
          <w:tcPr>
            <w:tcW w:type="dxa" w:w="5074"/>
            <w:tcMar>
              <w:top w:w="130" w:type="dxa"/>
              <w:start w:w="130" w:type="dxa"/>
              <w:bottom w:w="130" w:type="dxa"/>
              <w:end w:w="130" w:type="dxa"/>
            </w:tcMar>
            <w:shd w:fill="FFFFFF"/>
          </w:tcPr>
          <w:p>
            <w:pPr>
              <w:keepNext w:val="0"/>
              <w:keepLines/>
              <w:spacing w:before="0" w:after="40" w:line="360" w:lineRule="exact"/>
            </w:pPr>
            <w:r>
              <w:rPr>
                <w:rFonts w:ascii="Calibri" w:hAnsi="Calibri"/>
                <w:b/>
                <w:color w:val="24465F"/>
                <w:sz w:val="32"/>
              </w:rPr>
              <w:t>Moyenne tension</w:t>
            </w:r>
          </w:p>
        </w:tc>
        <w:tc>
          <w:tcPr>
            <w:tcW w:type="dxa" w:w="5074"/>
            <w:tcMar>
              <w:top w:w="130" w:type="dxa"/>
              <w:start w:w="130" w:type="dxa"/>
              <w:bottom w:w="130" w:type="dxa"/>
              <w:end w:w="130" w:type="dxa"/>
            </w:tcMar>
            <w:shd w:fill="FFFFFF"/>
          </w:tcPr>
          <w:p>
            <w:pPr>
              <w:keepNext w:val="0"/>
              <w:keepLines/>
              <w:spacing w:before="0" w:after="40" w:line="360" w:lineRule="exact"/>
            </w:pPr>
            <w:r>
              <w:rPr>
                <w:rFonts w:ascii="Calibri" w:hAnsi="Calibri"/>
                <w:color w:val="333333"/>
                <w:sz w:val="32"/>
              </w:rPr>
              <w:t>Une alimentation moyenne tension est indiquée comme pouvant être mise en place.</w:t>
            </w:r>
          </w:p>
        </w:tc>
      </w:tr>
      <w:tr>
        <w:trPr>
          <w:cantSplit/>
        </w:trPr>
        <w:tc>
          <w:tcPr>
            <w:tcW w:type="dxa" w:w="5074"/>
            <w:tcMar>
              <w:top w:w="130" w:type="dxa"/>
              <w:start w:w="130" w:type="dxa"/>
              <w:bottom w:w="130" w:type="dxa"/>
              <w:end w:w="130" w:type="dxa"/>
            </w:tcMar>
            <w:shd w:fill="EAF1F5"/>
          </w:tcPr>
          <w:p>
            <w:pPr>
              <w:keepNext w:val="0"/>
              <w:keepLines/>
              <w:spacing w:before="0" w:after="40" w:line="360" w:lineRule="exact"/>
            </w:pPr>
            <w:r>
              <w:rPr>
                <w:rFonts w:ascii="Calibri" w:hAnsi="Calibri"/>
                <w:b/>
                <w:color w:val="24465F"/>
                <w:sz w:val="32"/>
              </w:rPr>
              <w:t>Eau</w:t>
            </w:r>
          </w:p>
        </w:tc>
        <w:tc>
          <w:tcPr>
            <w:tcW w:type="dxa" w:w="5074"/>
            <w:tcMar>
              <w:top w:w="130" w:type="dxa"/>
              <w:start w:w="130" w:type="dxa"/>
              <w:bottom w:w="130" w:type="dxa"/>
              <w:end w:w="130" w:type="dxa"/>
            </w:tcMar>
            <w:shd w:fill="EAF1F5"/>
          </w:tcPr>
          <w:p>
            <w:pPr>
              <w:keepNext w:val="0"/>
              <w:keepLines/>
              <w:spacing w:before="0" w:after="40" w:line="360" w:lineRule="exact"/>
            </w:pPr>
            <w:r>
              <w:rPr>
                <w:rFonts w:ascii="Calibri" w:hAnsi="Calibri"/>
                <w:color w:val="333333"/>
                <w:sz w:val="32"/>
              </w:rPr>
              <w:t>Réseau de conduites d'eau en acier inoxydable installé en 2023.</w:t>
            </w:r>
          </w:p>
        </w:tc>
      </w:tr>
      <w:tr>
        <w:trPr>
          <w:cantSplit/>
        </w:trPr>
        <w:tc>
          <w:tcPr>
            <w:tcW w:type="dxa" w:w="5074"/>
            <w:tcMar>
              <w:top w:w="130" w:type="dxa"/>
              <w:start w:w="130" w:type="dxa"/>
              <w:bottom w:w="130" w:type="dxa"/>
              <w:end w:w="130" w:type="dxa"/>
            </w:tcMar>
            <w:shd w:fill="FFFFFF"/>
          </w:tcPr>
          <w:p>
            <w:pPr>
              <w:keepNext w:val="0"/>
              <w:keepLines/>
              <w:spacing w:before="0" w:after="40" w:line="360" w:lineRule="exact"/>
            </w:pPr>
            <w:r>
              <w:rPr>
                <w:rFonts w:ascii="Calibri" w:hAnsi="Calibri"/>
                <w:b/>
                <w:color w:val="24465F"/>
                <w:sz w:val="32"/>
              </w:rPr>
              <w:t>Dépendance</w:t>
            </w:r>
          </w:p>
        </w:tc>
        <w:tc>
          <w:tcPr>
            <w:tcW w:type="dxa" w:w="5074"/>
            <w:tcMar>
              <w:top w:w="130" w:type="dxa"/>
              <w:start w:w="130" w:type="dxa"/>
              <w:bottom w:w="130" w:type="dxa"/>
              <w:end w:w="130" w:type="dxa"/>
            </w:tcMar>
            <w:shd w:fill="FFFFFF"/>
          </w:tcPr>
          <w:p>
            <w:pPr>
              <w:keepNext w:val="0"/>
              <w:keepLines/>
              <w:spacing w:before="0" w:after="40" w:line="360" w:lineRule="exact"/>
            </w:pPr>
            <w:r>
              <w:rPr>
                <w:rFonts w:ascii="Calibri" w:hAnsi="Calibri"/>
                <w:color w:val="333333"/>
                <w:sz w:val="32"/>
              </w:rPr>
              <w:t>Environ 250 m², décrite comme bâtiment annexe / grange.</w:t>
            </w:r>
          </w:p>
        </w:tc>
      </w:tr>
      <w:tr>
        <w:trPr>
          <w:cantSplit/>
        </w:trPr>
        <w:tc>
          <w:tcPr>
            <w:tcW w:type="dxa" w:w="5074"/>
            <w:tcMar>
              <w:top w:w="130" w:type="dxa"/>
              <w:start w:w="130" w:type="dxa"/>
              <w:bottom w:w="130" w:type="dxa"/>
              <w:end w:w="130" w:type="dxa"/>
            </w:tcMar>
            <w:shd w:fill="EAF1F5"/>
          </w:tcPr>
          <w:p>
            <w:pPr>
              <w:keepNext w:val="0"/>
              <w:keepLines/>
              <w:spacing w:before="0" w:after="40" w:line="360" w:lineRule="exact"/>
            </w:pPr>
            <w:r>
              <w:rPr>
                <w:rFonts w:ascii="Calibri" w:hAnsi="Calibri"/>
                <w:b/>
                <w:color w:val="24465F"/>
                <w:sz w:val="32"/>
              </w:rPr>
              <w:t>Protection patrimoniale</w:t>
            </w:r>
          </w:p>
        </w:tc>
        <w:tc>
          <w:tcPr>
            <w:tcW w:type="dxa" w:w="5074"/>
            <w:tcMar>
              <w:top w:w="130" w:type="dxa"/>
              <w:start w:w="130" w:type="dxa"/>
              <w:bottom w:w="130" w:type="dxa"/>
              <w:end w:w="130" w:type="dxa"/>
            </w:tcMar>
            <w:shd w:fill="EAF1F5"/>
          </w:tcPr>
          <w:p>
            <w:pPr>
              <w:keepNext w:val="0"/>
              <w:keepLines/>
              <w:spacing w:before="0" w:after="40" w:line="360" w:lineRule="exact"/>
            </w:pPr>
            <w:r>
              <w:rPr>
                <w:rFonts w:ascii="Calibri" w:hAnsi="Calibri"/>
                <w:color w:val="333333"/>
                <w:sz w:val="32"/>
              </w:rPr>
              <w:t>Le document source indique l'absence de contraintes liées à la protection des monuments pour l'installation électrique évoquée.</w:t>
            </w:r>
          </w:p>
        </w:tc>
      </w:tr>
    </w:tbl>
    <w:p>
      <w:pPr>
        <w:keepNext w:val="0"/>
        <w:keepLines/>
        <w:pageBreakBefore w:val="0"/>
        <w:spacing w:after="140"/>
      </w:pPr>
    </w:p>
    <w:p>
      <w:pPr>
        <w:pStyle w:val="Heading1"/>
        <w:keepNext/>
        <w:keepLines/>
        <w:pageBreakBefore w:val="0"/>
        <w:spacing w:before="100" w:after="140"/>
      </w:pPr>
      <w:r>
        <w:rPr>
          <w:rFonts w:ascii="Calibri" w:hAnsi="Calibri"/>
          <w:color w:val="24465F"/>
          <w:sz w:val="36"/>
        </w:rPr>
        <w:t>Potentiel d'évolution du site</w:t>
      </w:r>
    </w:p>
    <w:p>
      <w:pPr>
        <w:keepNext w:val="0"/>
        <w:keepLines/>
        <w:pageBreakBefore w:val="0"/>
        <w:spacing w:after="140"/>
      </w:pPr>
      <w:r>
        <w:rPr>
          <w:rFonts w:ascii="Calibri" w:hAnsi="Calibri"/>
          <w:sz w:val="28"/>
        </w:rPr>
        <w:t>Le descriptif vendeur évoque une évolution du plan d’urbanisme. Son état d’avancement, les usages autorisés et les possibilités d’extension doivent être confirmés auprès de la commune avant de définir le programme.</w:t>
      </w:r>
    </w:p>
    <w:p>
      <w:pPr>
        <w:keepNext w:val="0"/>
        <w:keepLines/>
        <w:pageBreakBefore w:val="0"/>
        <w:spacing w:after="140"/>
      </w:pPr>
      <w:r>
        <w:rPr>
          <w:rFonts w:ascii="Calibri" w:hAnsi="Calibri"/>
          <w:sz w:val="28"/>
        </w:rPr>
      </w:r>
    </w:p>
    <w:p>
      <w:pPr>
        <w:keepNext w:val="0"/>
        <w:keepLines/>
        <w:pageBreakBefore/>
        <w:spacing w:after="140"/>
      </w:pPr>
      <w:r>
        <w:rPr>
          <w:rFonts w:ascii="Calibri" w:hAnsi="Calibri"/>
          <w:b/>
          <w:color w:val="B08A4A"/>
          <w:sz w:val="28"/>
        </w:rPr>
        <w:t>PÁKA | USAGES POSSIBLES &amp; LOCALISATION</w:t>
      </w:r>
    </w:p>
    <w:p>
      <w:pPr>
        <w:pStyle w:val="Heading1"/>
        <w:keepNext/>
        <w:keepLines/>
        <w:pageBreakBefore w:val="0"/>
        <w:spacing w:before="40" w:after="140"/>
      </w:pPr>
      <w:r>
        <w:rPr>
          <w:rFonts w:ascii="Calibri" w:hAnsi="Calibri"/>
          <w:color w:val="24465F"/>
          <w:sz w:val="36"/>
        </w:rPr>
        <w:t>Plusieurs concepts à explorer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rPr>
          <w:cantSplit/>
        </w:trPr>
        <w:tc>
          <w:tcPr>
            <w:tcW w:type="dxa" w:w="5074"/>
            <w:tcMar>
              <w:top w:w="80" w:type="dxa"/>
              <w:start w:w="110" w:type="dxa"/>
              <w:bottom w:w="80" w:type="dxa"/>
              <w:end w:w="110" w:type="dxa"/>
            </w:tcMar>
            <w:shd w:fill="F5F6F7"/>
          </w:tcPr>
          <w:p>
            <w:pPr>
              <w:keepNext w:val="0"/>
              <w:keepLines/>
              <w:spacing w:before="0" w:after="40" w:line="360" w:lineRule="exact"/>
            </w:pPr>
            <w:r>
              <w:rPr>
                <w:rFonts w:ascii="Calibri" w:hAnsi="Calibri"/>
                <w:b/>
                <w:color w:val="24465F"/>
                <w:sz w:val="32"/>
              </w:rPr>
              <w:t>Hospitalité premium</w:t>
            </w:r>
          </w:p>
        </w:tc>
        <w:tc>
          <w:tcPr>
            <w:tcW w:type="dxa" w:w="5074"/>
            <w:tcMar>
              <w:top w:w="80" w:type="dxa"/>
              <w:start w:w="110" w:type="dxa"/>
              <w:bottom w:w="80" w:type="dxa"/>
              <w:end w:w="110" w:type="dxa"/>
            </w:tcMar>
            <w:shd w:fill="F5F6F7"/>
          </w:tcPr>
          <w:p>
            <w:pPr>
              <w:keepNext w:val="0"/>
              <w:keepLines/>
              <w:spacing w:before="0" w:after="40" w:line="360" w:lineRule="exact"/>
            </w:pPr>
            <w:r>
              <w:rPr>
                <w:rFonts w:ascii="Calibri" w:hAnsi="Calibri"/>
                <w:color w:val="333333"/>
                <w:sz w:val="32"/>
              </w:rPr>
              <w:t>Maison d'hôtes exclusive ou résidence de type pavillon de chasse.</w:t>
            </w:r>
          </w:p>
        </w:tc>
      </w:tr>
      <w:tr>
        <w:trPr>
          <w:cantSplit/>
        </w:trPr>
        <w:tc>
          <w:tcPr>
            <w:tcW w:type="dxa" w:w="5074"/>
            <w:tcMar>
              <w:top w:w="80" w:type="dxa"/>
              <w:start w:w="110" w:type="dxa"/>
              <w:bottom w:w="80" w:type="dxa"/>
              <w:end w:w="110" w:type="dxa"/>
            </w:tcMar>
            <w:shd w:fill="FFFFFF"/>
          </w:tcPr>
          <w:p>
            <w:pPr>
              <w:keepNext w:val="0"/>
              <w:keepLines/>
              <w:spacing w:before="0" w:after="40" w:line="360" w:lineRule="exact"/>
            </w:pPr>
            <w:r>
              <w:rPr>
                <w:rFonts w:ascii="Calibri" w:hAnsi="Calibri"/>
                <w:b/>
                <w:color w:val="24465F"/>
                <w:sz w:val="32"/>
              </w:rPr>
              <w:t>Bien-être</w:t>
            </w:r>
          </w:p>
        </w:tc>
        <w:tc>
          <w:tcPr>
            <w:tcW w:type="dxa" w:w="5074"/>
            <w:tcMar>
              <w:top w:w="80" w:type="dxa"/>
              <w:start w:w="110" w:type="dxa"/>
              <w:bottom w:w="80" w:type="dxa"/>
              <w:end w:w="110" w:type="dxa"/>
            </w:tcMar>
            <w:shd w:fill="FFFFFF"/>
          </w:tcPr>
          <w:p>
            <w:pPr>
              <w:keepNext w:val="0"/>
              <w:keepLines/>
              <w:spacing w:before="0" w:after="40" w:line="360" w:lineRule="exact"/>
            </w:pPr>
            <w:r>
              <w:rPr>
                <w:rFonts w:ascii="Calibri" w:hAnsi="Calibri"/>
                <w:color w:val="333333"/>
                <w:sz w:val="32"/>
              </w:rPr>
              <w:t>Centre wellness, retraite ou séjour thématique.</w:t>
            </w:r>
          </w:p>
        </w:tc>
      </w:tr>
      <w:tr>
        <w:trPr>
          <w:cantSplit/>
        </w:trPr>
        <w:tc>
          <w:tcPr>
            <w:tcW w:type="dxa" w:w="5074"/>
            <w:tcMar>
              <w:top w:w="80" w:type="dxa"/>
              <w:start w:w="110" w:type="dxa"/>
              <w:bottom w:w="80" w:type="dxa"/>
              <w:end w:w="110" w:type="dxa"/>
            </w:tcMar>
            <w:shd w:fill="F5F6F7"/>
          </w:tcPr>
          <w:p>
            <w:pPr>
              <w:keepNext w:val="0"/>
              <w:keepLines/>
              <w:spacing w:before="0" w:after="40" w:line="360" w:lineRule="exact"/>
            </w:pPr>
            <w:r>
              <w:rPr>
                <w:rFonts w:ascii="Calibri" w:hAnsi="Calibri"/>
                <w:b/>
                <w:color w:val="24465F"/>
                <w:sz w:val="32"/>
              </w:rPr>
              <w:t>Tourisme</w:t>
            </w:r>
          </w:p>
        </w:tc>
        <w:tc>
          <w:tcPr>
            <w:tcW w:type="dxa" w:w="5074"/>
            <w:tcMar>
              <w:top w:w="80" w:type="dxa"/>
              <w:start w:w="110" w:type="dxa"/>
              <w:bottom w:w="80" w:type="dxa"/>
              <w:end w:w="110" w:type="dxa"/>
            </w:tcMar>
            <w:shd w:fill="F5F6F7"/>
          </w:tcPr>
          <w:p>
            <w:pPr>
              <w:keepNext w:val="0"/>
              <w:keepLines/>
              <w:spacing w:before="0" w:after="40" w:line="360" w:lineRule="exact"/>
            </w:pPr>
            <w:r>
              <w:rPr>
                <w:rFonts w:ascii="Calibri" w:hAnsi="Calibri"/>
                <w:color w:val="333333"/>
                <w:sz w:val="32"/>
              </w:rPr>
              <w:t>Développement touristique s'appuyant sur l'environnement naturel.</w:t>
            </w:r>
          </w:p>
        </w:tc>
      </w:tr>
      <w:tr>
        <w:trPr>
          <w:cantSplit/>
        </w:trPr>
        <w:tc>
          <w:tcPr>
            <w:tcW w:type="dxa" w:w="5074"/>
            <w:tcMar>
              <w:top w:w="80" w:type="dxa"/>
              <w:start w:w="110" w:type="dxa"/>
              <w:bottom w:w="80" w:type="dxa"/>
              <w:end w:w="110" w:type="dxa"/>
            </w:tcMar>
            <w:shd w:fill="FFFFFF"/>
          </w:tcPr>
          <w:p>
            <w:pPr>
              <w:keepNext w:val="0"/>
              <w:keepLines/>
              <w:spacing w:before="0" w:after="40" w:line="360" w:lineRule="exact"/>
            </w:pPr>
            <w:r>
              <w:rPr>
                <w:rFonts w:ascii="Calibri" w:hAnsi="Calibri"/>
                <w:b/>
                <w:color w:val="24465F"/>
                <w:sz w:val="32"/>
              </w:rPr>
              <w:t>Résidence services</w:t>
            </w:r>
          </w:p>
        </w:tc>
        <w:tc>
          <w:tcPr>
            <w:tcW w:type="dxa" w:w="5074"/>
            <w:tcMar>
              <w:top w:w="80" w:type="dxa"/>
              <w:start w:w="110" w:type="dxa"/>
              <w:bottom w:w="80" w:type="dxa"/>
              <w:end w:w="110" w:type="dxa"/>
            </w:tcMar>
            <w:shd w:fill="FFFFFF"/>
          </w:tcPr>
          <w:p>
            <w:pPr>
              <w:keepNext w:val="0"/>
              <w:keepLines/>
              <w:spacing w:before="0" w:after="40" w:line="360" w:lineRule="exact"/>
            </w:pPr>
            <w:r>
              <w:rPr>
                <w:rFonts w:ascii="Calibri" w:hAnsi="Calibri"/>
                <w:color w:val="333333"/>
                <w:sz w:val="32"/>
              </w:rPr>
              <w:t>Résidence seniors, hébergement spécialisé ou concept de services à la personne.</w:t>
            </w:r>
          </w:p>
        </w:tc>
      </w:tr>
      <w:tr>
        <w:trPr>
          <w:cantSplit/>
        </w:trPr>
        <w:tc>
          <w:tcPr>
            <w:tcW w:type="dxa" w:w="5074"/>
            <w:tcMar>
              <w:top w:w="80" w:type="dxa"/>
              <w:start w:w="110" w:type="dxa"/>
              <w:bottom w:w="80" w:type="dxa"/>
              <w:end w:w="110" w:type="dxa"/>
            </w:tcMar>
            <w:shd w:fill="F5F6F7"/>
          </w:tcPr>
          <w:p>
            <w:pPr>
              <w:keepNext w:val="0"/>
              <w:keepLines/>
              <w:spacing w:before="0" w:after="40" w:line="360" w:lineRule="exact"/>
            </w:pPr>
            <w:r>
              <w:rPr>
                <w:rFonts w:ascii="Calibri" w:hAnsi="Calibri"/>
                <w:b/>
                <w:color w:val="24465F"/>
                <w:sz w:val="32"/>
              </w:rPr>
              <w:t>Activités économiques</w:t>
            </w:r>
          </w:p>
        </w:tc>
        <w:tc>
          <w:tcPr>
            <w:tcW w:type="dxa" w:w="5074"/>
            <w:tcMar>
              <w:top w:w="80" w:type="dxa"/>
              <w:start w:w="110" w:type="dxa"/>
              <w:bottom w:w="80" w:type="dxa"/>
              <w:end w:w="110" w:type="dxa"/>
            </w:tcMar>
            <w:shd w:fill="F5F6F7"/>
          </w:tcPr>
          <w:p>
            <w:pPr>
              <w:keepNext w:val="0"/>
              <w:keepLines/>
              <w:spacing w:before="0" w:after="40" w:line="360" w:lineRule="exact"/>
            </w:pPr>
            <w:r>
              <w:rPr>
                <w:rFonts w:ascii="Calibri" w:hAnsi="Calibri"/>
                <w:color w:val="333333"/>
                <w:sz w:val="32"/>
              </w:rPr>
              <w:t>Centre logistique, industrie légère ou autre usage industriel adapté.</w:t>
            </w:r>
          </w:p>
        </w:tc>
      </w:tr>
      <w:tr>
        <w:trPr>
          <w:cantSplit/>
        </w:trPr>
        <w:tc>
          <w:tcPr>
            <w:tcW w:type="dxa" w:w="5074"/>
            <w:tcMar>
              <w:top w:w="80" w:type="dxa"/>
              <w:start w:w="110" w:type="dxa"/>
              <w:bottom w:w="80" w:type="dxa"/>
              <w:end w:w="110" w:type="dxa"/>
            </w:tcMar>
            <w:shd w:fill="FFFFFF"/>
          </w:tcPr>
          <w:p>
            <w:pPr>
              <w:keepNext w:val="0"/>
              <w:keepLines/>
              <w:spacing w:before="0" w:after="40" w:line="360" w:lineRule="exact"/>
            </w:pPr>
            <w:r>
              <w:rPr>
                <w:rFonts w:ascii="Calibri" w:hAnsi="Calibri"/>
                <w:b/>
                <w:color w:val="24465F"/>
                <w:sz w:val="32"/>
              </w:rPr>
              <w:t>Production intérieure</w:t>
            </w:r>
          </w:p>
        </w:tc>
        <w:tc>
          <w:tcPr>
            <w:tcW w:type="dxa" w:w="5074"/>
            <w:tcMar>
              <w:top w:w="80" w:type="dxa"/>
              <w:start w:w="110" w:type="dxa"/>
              <w:bottom w:w="80" w:type="dxa"/>
              <w:end w:w="110" w:type="dxa"/>
            </w:tcMar>
            <w:shd w:fill="FFFFFF"/>
          </w:tcPr>
          <w:p>
            <w:pPr>
              <w:keepNext w:val="0"/>
              <w:keepLines/>
              <w:spacing w:before="0" w:after="40" w:line="360" w:lineRule="exact"/>
            </w:pPr>
            <w:r>
              <w:rPr>
                <w:rFonts w:ascii="Calibri" w:hAnsi="Calibri"/>
                <w:color w:val="333333"/>
                <w:sz w:val="32"/>
              </w:rPr>
              <w:t>Culture végétale indoor et activités nécessitant de grands volumes techniques.</w:t>
            </w:r>
          </w:p>
        </w:tc>
      </w:tr>
      <w:tr>
        <w:trPr>
          <w:cantSplit/>
        </w:trPr>
        <w:tc>
          <w:tcPr>
            <w:tcW w:type="dxa" w:w="5074"/>
            <w:tcMar>
              <w:top w:w="80" w:type="dxa"/>
              <w:start w:w="110" w:type="dxa"/>
              <w:bottom w:w="80" w:type="dxa"/>
              <w:end w:w="110" w:type="dxa"/>
            </w:tcMar>
            <w:shd w:fill="F5F6F7"/>
          </w:tcPr>
          <w:p>
            <w:pPr>
              <w:keepNext w:val="0"/>
              <w:keepLines/>
              <w:spacing w:before="0" w:after="40" w:line="360" w:lineRule="exact"/>
            </w:pPr>
            <w:r>
              <w:rPr>
                <w:rFonts w:ascii="Calibri" w:hAnsi="Calibri"/>
                <w:b/>
                <w:color w:val="24465F"/>
                <w:sz w:val="32"/>
              </w:rPr>
              <w:t>Implantation d'entreprises / ESC Immo Invest</w:t>
            </w:r>
          </w:p>
        </w:tc>
        <w:tc>
          <w:tcPr>
            <w:tcW w:type="dxa" w:w="5074"/>
            <w:tcMar>
              <w:top w:w="80" w:type="dxa"/>
              <w:start w:w="110" w:type="dxa"/>
              <w:bottom w:w="80" w:type="dxa"/>
              <w:end w:w="110" w:type="dxa"/>
            </w:tcMar>
            <w:shd w:fill="F5F6F7"/>
          </w:tcPr>
          <w:p>
            <w:pPr>
              <w:keepNext w:val="0"/>
              <w:keepLines/>
              <w:spacing w:before="0" w:after="40" w:line="360" w:lineRule="exact"/>
            </w:pPr>
            <w:r>
              <w:rPr>
                <w:rFonts w:ascii="Calibri" w:hAnsi="Calibri"/>
                <w:color w:val="333333"/>
                <w:sz w:val="32"/>
              </w:rPr>
              <w:t>Base d'implantation pour entrepreneurs et entreprises souhaitant développer une activité en Hongrie et explorer les marchés frontaliers, avec espaces de travail et réseau professionnel local à structurer.</w:t>
            </w:r>
          </w:p>
        </w:tc>
      </w:tr>
    </w:tbl>
    <w:p>
      <w:pPr>
        <w:keepNext w:val="0"/>
        <w:keepLines/>
        <w:pageBreakBefore w:val="0"/>
        <w:spacing w:after="140" w:before="40"/>
      </w:pPr>
    </w:p>
    <w:p>
      <w:pPr>
        <w:keepNext w:val="0"/>
        <w:keepLines/>
        <w:pageBreakBefore w:val="0"/>
        <w:spacing w:after="140" w:before="40"/>
      </w:pPr>
      <w:r>
        <w:rPr>
          <w:rFonts w:ascii="Calibri" w:hAnsi="Calibri"/>
          <w:b/>
          <w:sz w:val="28"/>
          <w:color w:val="17324D"/>
        </w:rPr>
        <w:t>ESC IMMO INVEST — UN HUB POUR L'IMPLANTATION D'ENTREPRISES</w:t>
      </w:r>
    </w:p>
    <w:p>
      <w:pPr>
        <w:keepNext w:val="0"/>
        <w:keepLines/>
        <w:pageBreakBefore w:val="0"/>
        <w:spacing w:after="140" w:before="40"/>
      </w:pPr>
      <w:r>
        <w:rPr>
          <w:sz w:val="28"/>
          <w:rFonts w:ascii="Calibri" w:hAnsi="Calibri"/>
          <w:color w:val="333333"/>
        </w:rPr>
        <w:t>Au-delà de l'usage résidentiel ou touristique, le site peut être étudié comme point d'ancrage d'un écosystème Work &amp; Live destiné à accompagner l'implantation et le développement d'entreprises en Hongrie.</w:t>
      </w:r>
    </w:p>
    <w:p>
      <w:pPr>
        <w:keepNext w:val="0"/>
        <w:keepLines/>
        <w:pageBreakBefore w:val="0"/>
        <w:spacing w:after="140" w:before="40"/>
      </w:pPr>
      <w:r>
        <w:rPr>
          <w:rFonts w:ascii="Calibri" w:hAnsi="Calibri"/>
          <w:b/>
          <w:sz w:val="28"/>
          <w:color w:val="B08A4A"/>
        </w:rPr>
        <w:t>Pool professionnel à constituer : agent immobilier · architectes · géomètre · entreprises générales du bâtiment · électriciens · plombiers · chauffagistes · peintres · plaquistes · autres corps de métier spécialisés.</w:t>
      </w:r>
    </w:p>
    <w:p>
      <w:pPr>
        <w:keepNext w:val="0"/>
        <w:keepLines/>
        <w:pageBreakBefore w:val="0"/>
        <w:spacing w:after="140" w:before="40"/>
      </w:pPr>
      <w:r>
        <w:rPr>
          <w:rFonts w:ascii="Calibri" w:hAnsi="Calibri"/>
          <w:sz w:val="28"/>
        </w:rPr>
        <w:t>La proximité de la Slovénie, de la Croatie et de l'Autriche positionne Páka comme une base particulièrement intéressante pour développer les échanges, la prospection et les coopérations transfrontalières.</w:t>
      </w:r>
    </w:p>
    <w:p>
      <w:pPr>
        <w:pStyle w:val="Heading1"/>
        <w:keepNext/>
        <w:keepLines/>
        <w:pageBreakBefore w:val="0"/>
        <w:spacing w:before="40" w:after="140"/>
      </w:pPr>
      <w:r>
        <w:rPr>
          <w:rFonts w:ascii="Calibri" w:hAnsi="Calibri"/>
          <w:color w:val="24465F"/>
          <w:sz w:val="36"/>
        </w:rPr>
        <w:t>Une position transfrontalière</w:t>
      </w:r>
    </w:p>
    <w:p>
      <w:pPr>
        <w:keepNext w:val="0"/>
        <w:keepLines/>
        <w:pageBreakBefore w:val="0"/>
        <w:spacing w:after="140" w:before="40"/>
      </w:pPr>
      <w:r>
        <w:rPr>
          <w:rFonts w:ascii="Calibri" w:hAnsi="Calibri"/>
          <w:sz w:val="28"/>
        </w:rPr>
        <w:t>Slovénie ≈ 15 km   ·   Croatie ≈ 20 km   ·   Autriche ≈ 30 km — repères indicatifs du descriptif vendeur ; distances et itinéraires à confirmer.</w:t>
      </w:r>
    </w:p>
    <w:p>
      <w:pPr>
        <w:keepNext w:val="0"/>
        <w:keepLines/>
        <w:pageBreakBefore w:val="0"/>
        <w:spacing w:after="140" w:before="40"/>
      </w:pPr>
      <w:r>
        <w:rPr>
          <w:rFonts w:ascii="Calibri" w:hAnsi="Calibri"/>
          <w:sz w:val="28"/>
        </w:rPr>
        <w:t>Le descriptif vendeur mentionne l’accès au réseau de chemin de fer forestier de la région de Göcsej. Dessertes, accès précis au site et horaires sont à confirmer.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148"/>
      </w:tblGrid>
      <w:tr>
        <w:trPr>
          <w:cantSplit/>
        </w:trPr>
        <w:tc>
          <w:tcPr>
            <w:tcW w:type="dxa" w:w="10148"/>
            <w:tcMar>
              <w:top w:w="220" w:type="dxa"/>
              <w:start w:w="220" w:type="dxa"/>
              <w:bottom w:w="220" w:type="dxa"/>
              <w:end w:w="220" w:type="dxa"/>
            </w:tcMar>
            <w:shd w:fill="EAF1F5"/>
          </w:tcPr>
          <w:p>
            <w:pPr>
              <w:keepNext w:val="0"/>
              <w:keepLines/>
              <w:spacing w:after="40" w:line="360" w:lineRule="exact"/>
            </w:pPr>
            <w:r>
              <w:rPr>
                <w:rFonts w:ascii="Calibri" w:hAnsi="Calibri"/>
                <w:color w:val="24465F"/>
                <w:sz w:val="32"/>
              </w:rPr>
              <w:t>UNE OPPORTUNITÉ À FAÇONNER</w:t>
              <w:br/>
              <w:t>Páka offre la possibilité de réunir en un même lieu hébergement, espaces professionnels, services aux entrepreneurs et réseau de compétences. ESC Immo Invest peut y développer un hub Work &amp; Live destiné à l'implantation d'entreprises, soutenu par un pool local de professionnels et ouvert sur les marchés hongrois, slovène, croate et autrichien.</w:t>
            </w:r>
          </w:p>
        </w:tc>
      </w:tr>
    </w:tbl>
    <w:p>
      <w:pPr>
        <w:keepNext w:val="0"/>
        <w:keepLines/>
        <w:pageBreakBefore w:val="0"/>
        <w:spacing w:after="140" w:before="40"/>
      </w:pPr>
    </w:p>
    <w:p>
      <w:pPr>
        <w:keepNext w:val="0"/>
        <w:keepLines/>
        <w:pageBreakBefore w:val="0"/>
        <w:spacing w:after="140" w:before="60"/>
        <w:jc w:val="center"/>
      </w:pPr>
      <w:r>
        <w:rPr>
          <w:rFonts w:ascii="Calibri" w:hAnsi="Calibri"/>
          <w:sz w:val="28"/>
        </w:rPr>
        <w:t>Páka · Hongrie — Une implantation au cœur d'un bassin transfrontalier, pensée pour accueillir des projets immobiliers, entrepreneuriaux et professionnels.</w:t>
      </w:r>
    </w:p>
    <w:p>
      <w:pPr>
        <w:keepNext w:val="0"/>
        <w:keepLines/>
        <w:pageBreakBefore w:val="0"/>
        <w:spacing w:after="140"/>
      </w:pPr>
      <w:r>
        <w:t>Source : descriptif vendeur ; données à confirmer par la première étude locale et les pièces cadastrales. Édition du 09/10/2026.</w:t>
      </w:r>
    </w:p>
    <w:sectPr w:rsidR="00FC693F" w:rsidRPr="0006063C" w:rsidSect="00034616">
      <w:footerReference w:type="default" r:id="rId9"/>
      <w:pgSz w:w="11906" w:h="16838"/>
      <w:pgMar w:top="794" w:right="879" w:bottom="765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sz w:val="16"/>
      </w:rPr>
      <w:t>ESC — Pays-Bas : enregistrement en cours · ESC Immo Invest : structuration en cours</w:t>
      <w:br/>
      <w:t>F. Michiels · +33 6 98 04 27 13 · f.michiels@esceuropeanhub.info · 09/10/2026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24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B08A4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24D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